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A0876" w14:textId="77777777" w:rsidR="005C251E" w:rsidRPr="002B3F2F" w:rsidRDefault="005C251E" w:rsidP="005C251E">
      <w:pPr>
        <w:rPr>
          <w:rFonts w:ascii="THICCCBOI SemBd" w:hAnsi="THICCCBOI SemBd"/>
          <w:b/>
          <w:bCs/>
          <w:sz w:val="40"/>
          <w:szCs w:val="40"/>
        </w:rPr>
      </w:pPr>
      <w:r w:rsidRPr="002B3F2F">
        <w:rPr>
          <w:rFonts w:ascii="THICCCBOI SemBd" w:hAnsi="THICCCBOI SemBd"/>
          <w:b/>
          <w:bCs/>
          <w:sz w:val="40"/>
          <w:szCs w:val="40"/>
        </w:rPr>
        <w:t>1. Introduction</w:t>
      </w:r>
    </w:p>
    <w:p w14:paraId="5D036577" w14:textId="0CEF810C" w:rsidR="005C251E" w:rsidRPr="00BF54FA" w:rsidRDefault="00B3232E" w:rsidP="005C251E">
      <w:pPr>
        <w:rPr>
          <w:rFonts w:ascii="THICCCBOI SemBd" w:hAnsi="THICCCBOI SemBd"/>
        </w:rPr>
      </w:pPr>
      <w:proofErr w:type="spellStart"/>
      <w:r w:rsidRPr="00BF54FA">
        <w:rPr>
          <w:rFonts w:ascii="THICCCBOI SemBd" w:hAnsi="THICCCBOI SemBd"/>
        </w:rPr>
        <w:t>DifferencesnotDisabilities</w:t>
      </w:r>
      <w:proofErr w:type="spellEnd"/>
      <w:r w:rsidR="005C251E" w:rsidRPr="00BF54FA">
        <w:rPr>
          <w:rFonts w:ascii="THICCCBOI SemBd" w:hAnsi="THICCCBOI SemBd"/>
        </w:rPr>
        <w:t xml:space="preserve"> Ltd. is committed to safeguarding and promoting the welfare of children and young people. We recognize our duty of care to ensure that our practices reflect statutory responsibilities and government </w:t>
      </w:r>
      <w:r w:rsidRPr="00BF54FA">
        <w:rPr>
          <w:rFonts w:ascii="THICCCBOI SemBd" w:hAnsi="THICCCBOI SemBd"/>
        </w:rPr>
        <w:t>guidance and</w:t>
      </w:r>
      <w:r w:rsidR="005C251E" w:rsidRPr="00BF54FA">
        <w:rPr>
          <w:rFonts w:ascii="THICCCBOI SemBd" w:hAnsi="THICCCBOI SemBd"/>
        </w:rPr>
        <w:t xml:space="preserve"> comply with best practices.</w:t>
      </w:r>
    </w:p>
    <w:p w14:paraId="665874D3" w14:textId="77777777" w:rsidR="005C251E" w:rsidRPr="00BF54FA" w:rsidRDefault="005C251E" w:rsidP="005C251E">
      <w:pPr>
        <w:rPr>
          <w:rFonts w:ascii="THICCCBOI SemBd" w:hAnsi="THICCCBOI SemBd"/>
        </w:rPr>
      </w:pPr>
    </w:p>
    <w:p w14:paraId="6A86A063" w14:textId="77777777" w:rsidR="005C251E" w:rsidRPr="002B3F2F" w:rsidRDefault="005C251E" w:rsidP="005C251E">
      <w:pPr>
        <w:rPr>
          <w:rFonts w:ascii="THICCCBOI SemBd" w:hAnsi="THICCCBOI SemBd"/>
          <w:b/>
          <w:bCs/>
          <w:sz w:val="40"/>
          <w:szCs w:val="40"/>
        </w:rPr>
      </w:pPr>
      <w:r w:rsidRPr="002B3F2F">
        <w:rPr>
          <w:rFonts w:ascii="THICCCBOI SemBd" w:hAnsi="THICCCBOI SemBd"/>
          <w:b/>
          <w:bCs/>
          <w:sz w:val="40"/>
          <w:szCs w:val="40"/>
        </w:rPr>
        <w:t>2. Purpose</w:t>
      </w:r>
    </w:p>
    <w:p w14:paraId="49C3D8B8" w14:textId="77777777" w:rsidR="005C251E" w:rsidRPr="00BF54FA" w:rsidRDefault="005C251E" w:rsidP="005C251E">
      <w:pPr>
        <w:rPr>
          <w:rFonts w:ascii="THICCCBOI SemBd" w:hAnsi="THICCCBOI SemBd"/>
        </w:rPr>
      </w:pPr>
      <w:r w:rsidRPr="00BF54FA">
        <w:rPr>
          <w:rFonts w:ascii="THICCCBOI SemBd" w:hAnsi="THICCCBOI SemBd"/>
        </w:rPr>
        <w:t>The purpose of this policy is to:</w:t>
      </w:r>
    </w:p>
    <w:p w14:paraId="795DF41D" w14:textId="77777777" w:rsidR="005C251E" w:rsidRPr="00BF54FA" w:rsidRDefault="005C251E" w:rsidP="005C251E">
      <w:pPr>
        <w:rPr>
          <w:rFonts w:ascii="THICCCBOI SemBd" w:hAnsi="THICCCBOI SemBd"/>
        </w:rPr>
      </w:pPr>
    </w:p>
    <w:p w14:paraId="246B049B" w14:textId="4EC83898" w:rsidR="005C251E" w:rsidRPr="00BF54FA" w:rsidRDefault="005C251E" w:rsidP="005C251E">
      <w:pPr>
        <w:rPr>
          <w:rFonts w:ascii="THICCCBOI SemBd" w:hAnsi="THICCCBOI SemBd"/>
        </w:rPr>
      </w:pPr>
      <w:r w:rsidRPr="00BF54FA">
        <w:rPr>
          <w:rFonts w:ascii="THICCCBOI SemBd" w:hAnsi="THICCCBOI SemBd"/>
        </w:rPr>
        <w:t xml:space="preserve">Protect children and young people who receive </w:t>
      </w:r>
      <w:proofErr w:type="spellStart"/>
      <w:r w:rsidR="00B3232E" w:rsidRPr="00BF54FA">
        <w:rPr>
          <w:rFonts w:ascii="THICCCBOI SemBd" w:hAnsi="THICCCBOI SemBd"/>
        </w:rPr>
        <w:t>DifferencesnotDisabilities</w:t>
      </w:r>
      <w:proofErr w:type="spellEnd"/>
      <w:r w:rsidRPr="00BF54FA">
        <w:rPr>
          <w:rFonts w:ascii="THICCCBOI SemBd" w:hAnsi="THICCCBOI SemBd"/>
        </w:rPr>
        <w:t xml:space="preserve"> Ltd.’s services.</w:t>
      </w:r>
    </w:p>
    <w:p w14:paraId="389C82C1" w14:textId="77777777" w:rsidR="005C251E" w:rsidRPr="00BF54FA" w:rsidRDefault="005C251E" w:rsidP="005C251E">
      <w:pPr>
        <w:rPr>
          <w:rFonts w:ascii="THICCCBOI SemBd" w:hAnsi="THICCCBOI SemBd"/>
        </w:rPr>
      </w:pPr>
      <w:r w:rsidRPr="00BF54FA">
        <w:rPr>
          <w:rFonts w:ascii="THICCCBOI SemBd" w:hAnsi="THICCCBOI SemBd"/>
        </w:rPr>
        <w:t>Provide staff and volunteers with the overarching principles that guide our approach to safeguarding and child protection.</w:t>
      </w:r>
    </w:p>
    <w:p w14:paraId="6750F4C9" w14:textId="77777777" w:rsidR="005C251E" w:rsidRPr="002B3F2F" w:rsidRDefault="005C251E" w:rsidP="005C251E">
      <w:pPr>
        <w:rPr>
          <w:rFonts w:ascii="THICCCBOI SemBd" w:hAnsi="THICCCBOI SemBd"/>
          <w:b/>
          <w:bCs/>
          <w:sz w:val="40"/>
          <w:szCs w:val="40"/>
        </w:rPr>
      </w:pPr>
      <w:r w:rsidRPr="002B3F2F">
        <w:rPr>
          <w:rFonts w:ascii="THICCCBOI SemBd" w:hAnsi="THICCCBOI SemBd"/>
          <w:b/>
          <w:bCs/>
          <w:sz w:val="40"/>
          <w:szCs w:val="40"/>
        </w:rPr>
        <w:t>3. Scope</w:t>
      </w:r>
    </w:p>
    <w:p w14:paraId="27CBB895" w14:textId="38FBFD62" w:rsidR="005C251E" w:rsidRPr="00BF54FA" w:rsidRDefault="005C251E" w:rsidP="005C251E">
      <w:pPr>
        <w:rPr>
          <w:rFonts w:ascii="THICCCBOI SemBd" w:hAnsi="THICCCBOI SemBd"/>
        </w:rPr>
      </w:pPr>
      <w:r w:rsidRPr="00BF54FA">
        <w:rPr>
          <w:rFonts w:ascii="THICCCBOI SemBd" w:hAnsi="THICCCBOI SemBd"/>
        </w:rPr>
        <w:t xml:space="preserve">This policy applies to all employees, volunteers, contractors, and any other individuals or groups working with or on behalf of </w:t>
      </w:r>
      <w:proofErr w:type="spellStart"/>
      <w:r w:rsidR="00B3232E" w:rsidRPr="00BF54FA">
        <w:rPr>
          <w:rFonts w:ascii="THICCCBOI SemBd" w:hAnsi="THICCCBOI SemBd"/>
        </w:rPr>
        <w:t>DifferencesnotDisabilities</w:t>
      </w:r>
      <w:proofErr w:type="spellEnd"/>
      <w:r w:rsidRPr="00BF54FA">
        <w:rPr>
          <w:rFonts w:ascii="THICCCBOI SemBd" w:hAnsi="THICCCBOI SemBd"/>
        </w:rPr>
        <w:t xml:space="preserve"> Ltd.</w:t>
      </w:r>
    </w:p>
    <w:p w14:paraId="4D7505BE" w14:textId="77777777" w:rsidR="005C251E" w:rsidRPr="00BF54FA" w:rsidRDefault="005C251E" w:rsidP="005C251E">
      <w:pPr>
        <w:rPr>
          <w:rFonts w:ascii="THICCCBOI SemBd" w:hAnsi="THICCCBOI SemBd"/>
        </w:rPr>
      </w:pPr>
    </w:p>
    <w:p w14:paraId="1D6A2D28" w14:textId="77777777" w:rsidR="005C251E" w:rsidRPr="002B3F2F" w:rsidRDefault="005C251E" w:rsidP="005C251E">
      <w:pPr>
        <w:rPr>
          <w:rFonts w:ascii="THICCCBOI SemBd" w:hAnsi="THICCCBOI SemBd"/>
          <w:b/>
          <w:bCs/>
          <w:sz w:val="40"/>
          <w:szCs w:val="40"/>
        </w:rPr>
      </w:pPr>
      <w:r w:rsidRPr="002B3F2F">
        <w:rPr>
          <w:rFonts w:ascii="THICCCBOI SemBd" w:hAnsi="THICCCBOI SemBd"/>
          <w:b/>
          <w:bCs/>
          <w:sz w:val="40"/>
          <w:szCs w:val="40"/>
        </w:rPr>
        <w:t>4. Legal Framework</w:t>
      </w:r>
    </w:p>
    <w:p w14:paraId="0D5316ED" w14:textId="77777777" w:rsidR="005C251E" w:rsidRPr="00BF54FA" w:rsidRDefault="005C251E" w:rsidP="005C251E">
      <w:pPr>
        <w:rPr>
          <w:rFonts w:ascii="THICCCBOI SemBd" w:hAnsi="THICCCBOI SemBd"/>
        </w:rPr>
      </w:pPr>
      <w:r w:rsidRPr="00BF54FA">
        <w:rPr>
          <w:rFonts w:ascii="THICCCBOI SemBd" w:hAnsi="THICCCBOI SemBd"/>
        </w:rPr>
        <w:t>This policy has been drawn up on the basis of law and guidance that seeks to protect children, including:</w:t>
      </w:r>
    </w:p>
    <w:p w14:paraId="47A328D6" w14:textId="77777777" w:rsidR="005C251E" w:rsidRPr="00BF54FA" w:rsidRDefault="005C251E" w:rsidP="005C251E">
      <w:pPr>
        <w:rPr>
          <w:rFonts w:ascii="THICCCBOI SemBd" w:hAnsi="THICCCBOI SemBd"/>
        </w:rPr>
      </w:pPr>
    </w:p>
    <w:p w14:paraId="5962700F" w14:textId="77777777" w:rsidR="005C251E" w:rsidRPr="00BF54FA" w:rsidRDefault="005C251E" w:rsidP="005C251E">
      <w:pPr>
        <w:rPr>
          <w:rFonts w:ascii="THICCCBOI SemBd" w:hAnsi="THICCCBOI SemBd"/>
        </w:rPr>
      </w:pPr>
      <w:r w:rsidRPr="00BF54FA">
        <w:rPr>
          <w:rFonts w:ascii="THICCCBOI SemBd" w:hAnsi="THICCCBOI SemBd"/>
        </w:rPr>
        <w:t>Children Act 1989 and 2004</w:t>
      </w:r>
    </w:p>
    <w:p w14:paraId="3071D2E1" w14:textId="77777777" w:rsidR="005C251E" w:rsidRPr="00BF54FA" w:rsidRDefault="005C251E" w:rsidP="005C251E">
      <w:pPr>
        <w:rPr>
          <w:rFonts w:ascii="THICCCBOI SemBd" w:hAnsi="THICCCBOI SemBd"/>
        </w:rPr>
      </w:pPr>
      <w:r w:rsidRPr="00BF54FA">
        <w:rPr>
          <w:rFonts w:ascii="THICCCBOI SemBd" w:hAnsi="THICCCBOI SemBd"/>
        </w:rPr>
        <w:t>Working Together to Safeguard Children 2018</w:t>
      </w:r>
    </w:p>
    <w:p w14:paraId="19B3DD01" w14:textId="77777777" w:rsidR="005C251E" w:rsidRPr="00BF54FA" w:rsidRDefault="005C251E" w:rsidP="005C251E">
      <w:pPr>
        <w:rPr>
          <w:rFonts w:ascii="THICCCBOI SemBd" w:hAnsi="THICCCBOI SemBd"/>
        </w:rPr>
      </w:pPr>
      <w:r w:rsidRPr="00BF54FA">
        <w:rPr>
          <w:rFonts w:ascii="THICCCBOI SemBd" w:hAnsi="THICCCBOI SemBd"/>
        </w:rPr>
        <w:t>Keeping Children Safe in Education 2021</w:t>
      </w:r>
    </w:p>
    <w:p w14:paraId="24322BFB" w14:textId="77777777" w:rsidR="005C251E" w:rsidRPr="00BF54FA" w:rsidRDefault="005C251E" w:rsidP="005C251E">
      <w:pPr>
        <w:rPr>
          <w:rFonts w:ascii="THICCCBOI SemBd" w:hAnsi="THICCCBOI SemBd"/>
        </w:rPr>
      </w:pPr>
      <w:r w:rsidRPr="00BF54FA">
        <w:rPr>
          <w:rFonts w:ascii="THICCCBOI SemBd" w:hAnsi="THICCCBOI SemBd"/>
        </w:rPr>
        <w:t>Sexual Offences Act 2003</w:t>
      </w:r>
    </w:p>
    <w:p w14:paraId="33CE1400" w14:textId="77777777" w:rsidR="005C251E" w:rsidRPr="00BF54FA" w:rsidRDefault="005C251E" w:rsidP="005C251E">
      <w:pPr>
        <w:rPr>
          <w:rFonts w:ascii="THICCCBOI SemBd" w:hAnsi="THICCCBOI SemBd"/>
        </w:rPr>
      </w:pPr>
      <w:r w:rsidRPr="00BF54FA">
        <w:rPr>
          <w:rFonts w:ascii="THICCCBOI SemBd" w:hAnsi="THICCCBOI SemBd"/>
        </w:rPr>
        <w:t>Protection of Freedoms Act 2012</w:t>
      </w:r>
    </w:p>
    <w:p w14:paraId="03E21959" w14:textId="77777777" w:rsidR="005C251E" w:rsidRPr="00BF54FA" w:rsidRDefault="005C251E" w:rsidP="005C251E">
      <w:pPr>
        <w:rPr>
          <w:rFonts w:ascii="THICCCBOI SemBd" w:hAnsi="THICCCBOI SemBd"/>
        </w:rPr>
      </w:pPr>
      <w:r w:rsidRPr="00BF54FA">
        <w:rPr>
          <w:rFonts w:ascii="THICCCBOI SemBd" w:hAnsi="THICCCBOI SemBd"/>
        </w:rPr>
        <w:t>Data Protection Act 2018 and GDPR</w:t>
      </w:r>
    </w:p>
    <w:p w14:paraId="13F31A8A" w14:textId="77777777" w:rsidR="005C251E" w:rsidRPr="00BF54FA" w:rsidRDefault="005C251E" w:rsidP="005C251E">
      <w:pPr>
        <w:rPr>
          <w:rFonts w:ascii="THICCCBOI SemBd" w:hAnsi="THICCCBOI SemBd"/>
        </w:rPr>
      </w:pPr>
      <w:r w:rsidRPr="00BF54FA">
        <w:rPr>
          <w:rFonts w:ascii="THICCCBOI SemBd" w:hAnsi="THICCCBOI SemBd"/>
        </w:rPr>
        <w:t>UN Convention on the Rights of the Child 1991</w:t>
      </w:r>
    </w:p>
    <w:p w14:paraId="704DE43D" w14:textId="77777777" w:rsidR="005C251E" w:rsidRPr="002B3F2F" w:rsidRDefault="005C251E" w:rsidP="005C251E">
      <w:pPr>
        <w:rPr>
          <w:rFonts w:ascii="THICCCBOI SemBd" w:hAnsi="THICCCBOI SemBd"/>
          <w:b/>
          <w:bCs/>
          <w:sz w:val="40"/>
          <w:szCs w:val="40"/>
        </w:rPr>
      </w:pPr>
      <w:r w:rsidRPr="002B3F2F">
        <w:rPr>
          <w:rFonts w:ascii="THICCCBOI SemBd" w:hAnsi="THICCCBOI SemBd"/>
          <w:b/>
          <w:bCs/>
          <w:sz w:val="40"/>
          <w:szCs w:val="40"/>
        </w:rPr>
        <w:t>5. Definitions</w:t>
      </w:r>
    </w:p>
    <w:p w14:paraId="7739FCA1" w14:textId="77777777" w:rsidR="005C251E" w:rsidRPr="00BF54FA" w:rsidRDefault="005C251E" w:rsidP="005C251E">
      <w:pPr>
        <w:rPr>
          <w:rFonts w:ascii="THICCCBOI SemBd" w:hAnsi="THICCCBOI SemBd"/>
        </w:rPr>
      </w:pPr>
      <w:r w:rsidRPr="00BF54FA">
        <w:rPr>
          <w:rFonts w:ascii="THICCCBOI SemBd" w:hAnsi="THICCCBOI SemBd"/>
        </w:rPr>
        <w:t>Child: A person under the age of 18.</w:t>
      </w:r>
    </w:p>
    <w:p w14:paraId="069DB217" w14:textId="77777777" w:rsidR="005C251E" w:rsidRPr="00BF54FA" w:rsidRDefault="005C251E" w:rsidP="005C251E">
      <w:pPr>
        <w:rPr>
          <w:rFonts w:ascii="THICCCBOI SemBd" w:hAnsi="THICCCBOI SemBd"/>
        </w:rPr>
      </w:pPr>
      <w:r w:rsidRPr="00BF54FA">
        <w:rPr>
          <w:rFonts w:ascii="THICCCBOI SemBd" w:hAnsi="THICCCBOI SemBd"/>
        </w:rPr>
        <w:t>Safeguarding: The action taken to promote the welfare of children and protect them from harm.</w:t>
      </w:r>
    </w:p>
    <w:p w14:paraId="6AC5CABC" w14:textId="77777777" w:rsidR="005C251E" w:rsidRPr="00BF54FA" w:rsidRDefault="005C251E" w:rsidP="005C251E">
      <w:pPr>
        <w:rPr>
          <w:rFonts w:ascii="THICCCBOI SemBd" w:hAnsi="THICCCBOI SemBd"/>
        </w:rPr>
      </w:pPr>
      <w:r w:rsidRPr="00BF54FA">
        <w:rPr>
          <w:rFonts w:ascii="THICCCBOI SemBd" w:hAnsi="THICCCBOI SemBd"/>
        </w:rPr>
        <w:lastRenderedPageBreak/>
        <w:t>Child Protection: Part of safeguarding and promoting welfare. It refers to the activity undertaken to protect specific children who are suffering, or are likely to suffer, significant harm.</w:t>
      </w:r>
    </w:p>
    <w:p w14:paraId="40FF78D8" w14:textId="77777777" w:rsidR="005C251E" w:rsidRPr="002B3F2F" w:rsidRDefault="005C251E" w:rsidP="005C251E">
      <w:pPr>
        <w:rPr>
          <w:rFonts w:ascii="THICCCBOI SemBd" w:hAnsi="THICCCBOI SemBd"/>
          <w:b/>
          <w:bCs/>
          <w:sz w:val="40"/>
          <w:szCs w:val="40"/>
        </w:rPr>
      </w:pPr>
      <w:r w:rsidRPr="002B3F2F">
        <w:rPr>
          <w:rFonts w:ascii="THICCCBOI SemBd" w:hAnsi="THICCCBOI SemBd"/>
          <w:b/>
          <w:bCs/>
          <w:sz w:val="40"/>
          <w:szCs w:val="40"/>
        </w:rPr>
        <w:t>6. Roles and Responsibilities</w:t>
      </w:r>
    </w:p>
    <w:p w14:paraId="23CBDBB3" w14:textId="77777777" w:rsidR="005C251E" w:rsidRPr="00BF54FA" w:rsidRDefault="005C251E" w:rsidP="005C251E">
      <w:pPr>
        <w:rPr>
          <w:rFonts w:ascii="THICCCBOI SemBd" w:hAnsi="THICCCBOI SemBd"/>
        </w:rPr>
      </w:pPr>
      <w:r w:rsidRPr="00BF54FA">
        <w:rPr>
          <w:rFonts w:ascii="THICCCBOI SemBd" w:hAnsi="THICCCBOI SemBd"/>
        </w:rPr>
        <w:t>Designated Safeguarding Lead (DSL): The DSL has lead responsibility for safeguarding and child protection. This responsibility cannot be delegated.</w:t>
      </w:r>
    </w:p>
    <w:p w14:paraId="5EB824B6" w14:textId="7EFF2F9F" w:rsidR="005C251E" w:rsidRPr="00BF54FA" w:rsidRDefault="005C251E" w:rsidP="005C251E">
      <w:pPr>
        <w:rPr>
          <w:rFonts w:ascii="THICCCBOI SemBd" w:hAnsi="THICCCBOI SemBd"/>
        </w:rPr>
      </w:pPr>
      <w:r w:rsidRPr="00BF54FA">
        <w:rPr>
          <w:rFonts w:ascii="THICCCBOI SemBd" w:hAnsi="THICCCBOI SemBd"/>
        </w:rPr>
        <w:t>All Staff and Volunteers: All individuals working for or on behalf of</w:t>
      </w:r>
      <w:r w:rsidR="00B3232E" w:rsidRPr="00BF54FA">
        <w:rPr>
          <w:rFonts w:ascii="THICCCBOI SemBd" w:hAnsi="THICCCBOI SemBd"/>
        </w:rPr>
        <w:t xml:space="preserve"> </w:t>
      </w:r>
      <w:proofErr w:type="spellStart"/>
      <w:r w:rsidR="00B3232E" w:rsidRPr="00BF54FA">
        <w:rPr>
          <w:rFonts w:ascii="THICCCBOI SemBd" w:hAnsi="THICCCBOI SemBd"/>
        </w:rPr>
        <w:t>DifferencesnotDisabilities</w:t>
      </w:r>
      <w:proofErr w:type="spellEnd"/>
      <w:r w:rsidR="00B3232E" w:rsidRPr="00BF54FA">
        <w:rPr>
          <w:rFonts w:ascii="THICCCBOI SemBd" w:hAnsi="THICCCBOI SemBd"/>
        </w:rPr>
        <w:t xml:space="preserve"> </w:t>
      </w:r>
      <w:r w:rsidRPr="00BF54FA">
        <w:rPr>
          <w:rFonts w:ascii="THICCCBOI SemBd" w:hAnsi="THICCCBOI SemBd"/>
        </w:rPr>
        <w:t>Ltd. have a responsibility to protect children and young people from abuse and neglect and to report any concerns immediately to the DSL.</w:t>
      </w:r>
    </w:p>
    <w:p w14:paraId="59654D48" w14:textId="77777777" w:rsidR="005C251E" w:rsidRPr="002B3F2F" w:rsidRDefault="005C251E" w:rsidP="005C251E">
      <w:pPr>
        <w:rPr>
          <w:rFonts w:ascii="THICCCBOI SemBd" w:hAnsi="THICCCBOI SemBd"/>
          <w:b/>
          <w:bCs/>
          <w:sz w:val="40"/>
          <w:szCs w:val="40"/>
        </w:rPr>
      </w:pPr>
      <w:r w:rsidRPr="002B3F2F">
        <w:rPr>
          <w:rFonts w:ascii="THICCCBOI SemBd" w:hAnsi="THICCCBOI SemBd"/>
          <w:b/>
          <w:bCs/>
          <w:sz w:val="40"/>
          <w:szCs w:val="40"/>
        </w:rPr>
        <w:t>7. Safe Recruitment</w:t>
      </w:r>
    </w:p>
    <w:p w14:paraId="1E52A3F7" w14:textId="2D7969ED" w:rsidR="005C251E" w:rsidRPr="00BF54FA" w:rsidRDefault="00B3232E" w:rsidP="005C251E">
      <w:pPr>
        <w:rPr>
          <w:rFonts w:ascii="THICCCBOI SemBd" w:hAnsi="THICCCBOI SemBd"/>
        </w:rPr>
      </w:pPr>
      <w:proofErr w:type="spellStart"/>
      <w:r w:rsidRPr="00BF54FA">
        <w:rPr>
          <w:rFonts w:ascii="THICCCBOI SemBd" w:hAnsi="THICCCBOI SemBd"/>
        </w:rPr>
        <w:t>DifferencesnotDisabilities</w:t>
      </w:r>
      <w:proofErr w:type="spellEnd"/>
      <w:r w:rsidR="005C251E" w:rsidRPr="00BF54FA">
        <w:rPr>
          <w:rFonts w:ascii="THICCCBOI SemBd" w:hAnsi="THICCCBOI SemBd"/>
        </w:rPr>
        <w:t xml:space="preserve"> Ltd. follows safer recruitment practices to ensure that all employees and volunteers are suitable to work with children. This includes:</w:t>
      </w:r>
    </w:p>
    <w:p w14:paraId="63690848" w14:textId="77777777" w:rsidR="005C251E" w:rsidRPr="00BF54FA" w:rsidRDefault="005C251E" w:rsidP="005C251E">
      <w:pPr>
        <w:rPr>
          <w:rFonts w:ascii="THICCCBOI SemBd" w:hAnsi="THICCCBOI SemBd"/>
        </w:rPr>
      </w:pPr>
    </w:p>
    <w:p w14:paraId="4F6F8BEB" w14:textId="77777777" w:rsidR="005C251E" w:rsidRPr="00BF54FA" w:rsidRDefault="005C251E" w:rsidP="005C251E">
      <w:pPr>
        <w:rPr>
          <w:rFonts w:ascii="THICCCBOI SemBd" w:hAnsi="THICCCBOI SemBd"/>
        </w:rPr>
      </w:pPr>
      <w:r w:rsidRPr="00BF54FA">
        <w:rPr>
          <w:rFonts w:ascii="THICCCBOI SemBd" w:hAnsi="THICCCBOI SemBd"/>
        </w:rPr>
        <w:t>Undertaking enhanced DBS checks.</w:t>
      </w:r>
    </w:p>
    <w:p w14:paraId="0557A771" w14:textId="77777777" w:rsidR="005C251E" w:rsidRPr="00BF54FA" w:rsidRDefault="005C251E" w:rsidP="005C251E">
      <w:pPr>
        <w:rPr>
          <w:rFonts w:ascii="THICCCBOI SemBd" w:hAnsi="THICCCBOI SemBd"/>
        </w:rPr>
      </w:pPr>
      <w:r w:rsidRPr="00BF54FA">
        <w:rPr>
          <w:rFonts w:ascii="THICCCBOI SemBd" w:hAnsi="THICCCBOI SemBd"/>
        </w:rPr>
        <w:t>Verifying references and employment history.</w:t>
      </w:r>
    </w:p>
    <w:p w14:paraId="0EBF5134" w14:textId="77777777" w:rsidR="005C251E" w:rsidRPr="00BF54FA" w:rsidRDefault="005C251E" w:rsidP="005C251E">
      <w:pPr>
        <w:rPr>
          <w:rFonts w:ascii="THICCCBOI SemBd" w:hAnsi="THICCCBOI SemBd"/>
        </w:rPr>
      </w:pPr>
      <w:r w:rsidRPr="00BF54FA">
        <w:rPr>
          <w:rFonts w:ascii="THICCCBOI SemBd" w:hAnsi="THICCCBOI SemBd"/>
        </w:rPr>
        <w:t>Providing safeguarding training as part of the induction process.</w:t>
      </w:r>
    </w:p>
    <w:p w14:paraId="5C9ADF60" w14:textId="77777777" w:rsidR="005C251E" w:rsidRPr="002B3F2F" w:rsidRDefault="005C251E" w:rsidP="005C251E">
      <w:pPr>
        <w:rPr>
          <w:rFonts w:ascii="THICCCBOI SemBd" w:hAnsi="THICCCBOI SemBd"/>
          <w:b/>
          <w:bCs/>
          <w:sz w:val="40"/>
          <w:szCs w:val="40"/>
        </w:rPr>
      </w:pPr>
      <w:r w:rsidRPr="002B3F2F">
        <w:rPr>
          <w:rFonts w:ascii="THICCCBOI SemBd" w:hAnsi="THICCCBOI SemBd"/>
          <w:b/>
          <w:bCs/>
          <w:sz w:val="40"/>
          <w:szCs w:val="40"/>
        </w:rPr>
        <w:t>8. Training</w:t>
      </w:r>
    </w:p>
    <w:p w14:paraId="3C785B83" w14:textId="77777777" w:rsidR="005C251E" w:rsidRPr="00BF54FA" w:rsidRDefault="005C251E" w:rsidP="005C251E">
      <w:pPr>
        <w:rPr>
          <w:rFonts w:ascii="THICCCBOI SemBd" w:hAnsi="THICCCBOI SemBd"/>
        </w:rPr>
      </w:pPr>
      <w:r w:rsidRPr="00BF54FA">
        <w:rPr>
          <w:rFonts w:ascii="THICCCBOI SemBd" w:hAnsi="THICCCBOI SemBd"/>
        </w:rPr>
        <w:t>All staff and volunteers will receive training to ensure they are aware of the signs of abuse and neglect and know how to respond appropriately. Training will be updated regularly to reflect new guidance and legislation.</w:t>
      </w:r>
    </w:p>
    <w:p w14:paraId="705B912B" w14:textId="77777777" w:rsidR="005C251E" w:rsidRPr="00BF54FA" w:rsidRDefault="005C251E" w:rsidP="005C251E">
      <w:pPr>
        <w:rPr>
          <w:rFonts w:ascii="THICCCBOI SemBd" w:hAnsi="THICCCBOI SemBd"/>
        </w:rPr>
      </w:pPr>
    </w:p>
    <w:p w14:paraId="03DD23FF" w14:textId="77777777" w:rsidR="005C251E" w:rsidRPr="002B3F2F" w:rsidRDefault="005C251E" w:rsidP="005C251E">
      <w:pPr>
        <w:rPr>
          <w:rFonts w:ascii="THICCCBOI SemBd" w:hAnsi="THICCCBOI SemBd"/>
          <w:b/>
          <w:bCs/>
          <w:sz w:val="40"/>
          <w:szCs w:val="40"/>
        </w:rPr>
      </w:pPr>
      <w:r w:rsidRPr="002B3F2F">
        <w:rPr>
          <w:rFonts w:ascii="THICCCBOI SemBd" w:hAnsi="THICCCBOI SemBd"/>
          <w:b/>
          <w:bCs/>
          <w:sz w:val="40"/>
          <w:szCs w:val="40"/>
        </w:rPr>
        <w:t>9. Recognizing Abuse and Neglect</w:t>
      </w:r>
    </w:p>
    <w:p w14:paraId="55BAAD66" w14:textId="77777777" w:rsidR="005C251E" w:rsidRPr="00BF54FA" w:rsidRDefault="005C251E" w:rsidP="005C251E">
      <w:pPr>
        <w:rPr>
          <w:rFonts w:ascii="THICCCBOI SemBd" w:hAnsi="THICCCBOI SemBd"/>
        </w:rPr>
      </w:pPr>
      <w:r w:rsidRPr="00BF54FA">
        <w:rPr>
          <w:rFonts w:ascii="THICCCBOI SemBd" w:hAnsi="THICCCBOI SemBd"/>
        </w:rPr>
        <w:t>Abuse can be:</w:t>
      </w:r>
    </w:p>
    <w:p w14:paraId="759B11FF" w14:textId="77777777" w:rsidR="005C251E" w:rsidRPr="00BF54FA" w:rsidRDefault="005C251E" w:rsidP="005C251E">
      <w:pPr>
        <w:rPr>
          <w:rFonts w:ascii="THICCCBOI SemBd" w:hAnsi="THICCCBOI SemBd"/>
        </w:rPr>
      </w:pPr>
    </w:p>
    <w:p w14:paraId="590E4BB6" w14:textId="77777777" w:rsidR="005C251E" w:rsidRPr="00BF54FA" w:rsidRDefault="005C251E" w:rsidP="005C251E">
      <w:pPr>
        <w:rPr>
          <w:rFonts w:ascii="THICCCBOI SemBd" w:hAnsi="THICCCBOI SemBd"/>
        </w:rPr>
      </w:pPr>
      <w:r w:rsidRPr="00BF54FA">
        <w:rPr>
          <w:rFonts w:ascii="THICCCBOI SemBd" w:hAnsi="THICCCBOI SemBd"/>
        </w:rPr>
        <w:t>Physical Abuse: Hitting, shaking, throwing, poisoning, burning, or scalding.</w:t>
      </w:r>
    </w:p>
    <w:p w14:paraId="147B6A80" w14:textId="77777777" w:rsidR="005C251E" w:rsidRPr="00BF54FA" w:rsidRDefault="005C251E" w:rsidP="005C251E">
      <w:pPr>
        <w:rPr>
          <w:rFonts w:ascii="THICCCBOI SemBd" w:hAnsi="THICCCBOI SemBd"/>
        </w:rPr>
      </w:pPr>
      <w:r w:rsidRPr="00BF54FA">
        <w:rPr>
          <w:rFonts w:ascii="THICCCBOI SemBd" w:hAnsi="THICCCBOI SemBd"/>
        </w:rPr>
        <w:t>Emotional Abuse: Emotional maltreatment causing severe and persistent adverse effects on a child's emotional development.</w:t>
      </w:r>
    </w:p>
    <w:p w14:paraId="5DB15AC2" w14:textId="77777777" w:rsidR="005C251E" w:rsidRPr="00BF54FA" w:rsidRDefault="005C251E" w:rsidP="005C251E">
      <w:pPr>
        <w:rPr>
          <w:rFonts w:ascii="THICCCBOI SemBd" w:hAnsi="THICCCBOI SemBd"/>
        </w:rPr>
      </w:pPr>
      <w:r w:rsidRPr="00BF54FA">
        <w:rPr>
          <w:rFonts w:ascii="THICCCBOI SemBd" w:hAnsi="THICCCBOI SemBd"/>
        </w:rPr>
        <w:t>Sexual Abuse: Forcing or enticing a child to take part in sexual activities.</w:t>
      </w:r>
    </w:p>
    <w:p w14:paraId="77F3AF65" w14:textId="77777777" w:rsidR="005C251E" w:rsidRPr="00BF54FA" w:rsidRDefault="005C251E" w:rsidP="005C251E">
      <w:pPr>
        <w:rPr>
          <w:rFonts w:ascii="THICCCBOI SemBd" w:hAnsi="THICCCBOI SemBd"/>
        </w:rPr>
      </w:pPr>
      <w:r w:rsidRPr="00BF54FA">
        <w:rPr>
          <w:rFonts w:ascii="THICCCBOI SemBd" w:hAnsi="THICCCBOI SemBd"/>
        </w:rPr>
        <w:t>Neglect: Persistent failure to meet a child's basic physical and/or psychological needs.</w:t>
      </w:r>
    </w:p>
    <w:p w14:paraId="5A9CBD9C" w14:textId="77777777" w:rsidR="005C251E" w:rsidRPr="002B3F2F" w:rsidRDefault="005C251E" w:rsidP="005C251E">
      <w:pPr>
        <w:rPr>
          <w:rFonts w:ascii="THICCCBOI SemBd" w:hAnsi="THICCCBOI SemBd"/>
          <w:b/>
          <w:bCs/>
          <w:sz w:val="40"/>
          <w:szCs w:val="40"/>
        </w:rPr>
      </w:pPr>
      <w:r w:rsidRPr="002B3F2F">
        <w:rPr>
          <w:rFonts w:ascii="THICCCBOI SemBd" w:hAnsi="THICCCBOI SemBd"/>
          <w:b/>
          <w:bCs/>
          <w:sz w:val="40"/>
          <w:szCs w:val="40"/>
        </w:rPr>
        <w:t>10. Responding to Disclosures and Concerns</w:t>
      </w:r>
    </w:p>
    <w:p w14:paraId="4A22F6B1" w14:textId="77777777" w:rsidR="005C251E" w:rsidRPr="00BF54FA" w:rsidRDefault="005C251E" w:rsidP="005C251E">
      <w:pPr>
        <w:rPr>
          <w:rFonts w:ascii="THICCCBOI SemBd" w:hAnsi="THICCCBOI SemBd"/>
        </w:rPr>
      </w:pPr>
      <w:r w:rsidRPr="00BF54FA">
        <w:rPr>
          <w:rFonts w:ascii="THICCCBOI SemBd" w:hAnsi="THICCCBOI SemBd"/>
        </w:rPr>
        <w:t>Listening to Children: Staff and volunteers should listen to children carefully and respond non-judgmentally.</w:t>
      </w:r>
    </w:p>
    <w:p w14:paraId="3A5EC928" w14:textId="77777777" w:rsidR="005C251E" w:rsidRPr="00BF54FA" w:rsidRDefault="005C251E" w:rsidP="005C251E">
      <w:pPr>
        <w:rPr>
          <w:rFonts w:ascii="THICCCBOI SemBd" w:hAnsi="THICCCBOI SemBd"/>
        </w:rPr>
      </w:pPr>
      <w:r w:rsidRPr="00BF54FA">
        <w:rPr>
          <w:rFonts w:ascii="THICCCBOI SemBd" w:hAnsi="THICCCBOI SemBd"/>
        </w:rPr>
        <w:lastRenderedPageBreak/>
        <w:t>Reporting: Concerns should be reported to the DSL immediately. If the DSL is not available, concerns should be reported to the deputy DSL or a senior manager.</w:t>
      </w:r>
    </w:p>
    <w:p w14:paraId="6157C9BD" w14:textId="77777777" w:rsidR="005C251E" w:rsidRPr="00BF54FA" w:rsidRDefault="005C251E" w:rsidP="005C251E">
      <w:pPr>
        <w:rPr>
          <w:rFonts w:ascii="THICCCBOI SemBd" w:hAnsi="THICCCBOI SemBd"/>
        </w:rPr>
      </w:pPr>
      <w:r w:rsidRPr="00BF54FA">
        <w:rPr>
          <w:rFonts w:ascii="THICCCBOI SemBd" w:hAnsi="THICCCBOI SemBd"/>
        </w:rPr>
        <w:t>Record Keeping: All concerns, discussions, and decisions made, and the reasons for those decisions, should be recorded in writing.</w:t>
      </w:r>
    </w:p>
    <w:p w14:paraId="7FE33910" w14:textId="77777777" w:rsidR="005C251E" w:rsidRPr="002B3F2F" w:rsidRDefault="005C251E" w:rsidP="005C251E">
      <w:pPr>
        <w:rPr>
          <w:rFonts w:ascii="THICCCBOI SemBd" w:hAnsi="THICCCBOI SemBd"/>
          <w:b/>
          <w:bCs/>
          <w:sz w:val="40"/>
          <w:szCs w:val="40"/>
        </w:rPr>
      </w:pPr>
      <w:r w:rsidRPr="002B3F2F">
        <w:rPr>
          <w:rFonts w:ascii="THICCCBOI SemBd" w:hAnsi="THICCCBOI SemBd"/>
          <w:b/>
          <w:bCs/>
          <w:sz w:val="40"/>
          <w:szCs w:val="40"/>
        </w:rPr>
        <w:t>11. Confidentiality</w:t>
      </w:r>
    </w:p>
    <w:p w14:paraId="4B11201C" w14:textId="77777777" w:rsidR="005C251E" w:rsidRPr="00BF54FA" w:rsidRDefault="005C251E" w:rsidP="005C251E">
      <w:pPr>
        <w:rPr>
          <w:rFonts w:ascii="THICCCBOI SemBd" w:hAnsi="THICCCBOI SemBd"/>
        </w:rPr>
      </w:pPr>
      <w:r w:rsidRPr="00BF54FA">
        <w:rPr>
          <w:rFonts w:ascii="THICCCBOI SemBd" w:hAnsi="THICCCBOI SemBd"/>
        </w:rPr>
        <w:t>All information regarding safeguarding concerns should be shared only with those who need to know to protect the child. Information should be handled and disseminated on a need-to-know basis only.</w:t>
      </w:r>
    </w:p>
    <w:p w14:paraId="6B09B167" w14:textId="77777777" w:rsidR="005C251E" w:rsidRPr="00BF54FA" w:rsidRDefault="005C251E" w:rsidP="005C251E">
      <w:pPr>
        <w:rPr>
          <w:rFonts w:ascii="THICCCBOI SemBd" w:hAnsi="THICCCBOI SemBd"/>
        </w:rPr>
      </w:pPr>
    </w:p>
    <w:p w14:paraId="6DE7B773" w14:textId="77777777" w:rsidR="005C251E" w:rsidRPr="002B3F2F" w:rsidRDefault="005C251E" w:rsidP="005C251E">
      <w:pPr>
        <w:rPr>
          <w:rFonts w:ascii="THICCCBOI SemBd" w:hAnsi="THICCCBOI SemBd"/>
          <w:b/>
          <w:bCs/>
          <w:sz w:val="40"/>
          <w:szCs w:val="40"/>
        </w:rPr>
      </w:pPr>
      <w:r w:rsidRPr="002B3F2F">
        <w:rPr>
          <w:rFonts w:ascii="THICCCBOI SemBd" w:hAnsi="THICCCBOI SemBd"/>
          <w:b/>
          <w:bCs/>
          <w:sz w:val="40"/>
          <w:szCs w:val="40"/>
        </w:rPr>
        <w:t>12. Allegations Against Staff</w:t>
      </w:r>
    </w:p>
    <w:p w14:paraId="6D759A81" w14:textId="77777777" w:rsidR="005C251E" w:rsidRPr="00BF54FA" w:rsidRDefault="005C251E" w:rsidP="005C251E">
      <w:pPr>
        <w:rPr>
          <w:rFonts w:ascii="THICCCBOI SemBd" w:hAnsi="THICCCBOI SemBd"/>
        </w:rPr>
      </w:pPr>
      <w:r w:rsidRPr="00BF54FA">
        <w:rPr>
          <w:rFonts w:ascii="THICCCBOI SemBd" w:hAnsi="THICCCBOI SemBd"/>
        </w:rPr>
        <w:t>Any allegations of abuse made against a member of staff must be reported immediately to the DSL. If the allegation concerns the DSL, it should be reported to the deputy DSL or a senior manager. The company will follow the procedures set out in statutory guidance and involve the Local Authority Designated Officer (LADO) as required.</w:t>
      </w:r>
    </w:p>
    <w:p w14:paraId="53B53E13" w14:textId="77777777" w:rsidR="005C251E" w:rsidRPr="00BF54FA" w:rsidRDefault="005C251E" w:rsidP="005C251E">
      <w:pPr>
        <w:rPr>
          <w:rFonts w:ascii="THICCCBOI SemBd" w:hAnsi="THICCCBOI SemBd"/>
        </w:rPr>
      </w:pPr>
    </w:p>
    <w:p w14:paraId="6B1B3870" w14:textId="77777777" w:rsidR="005C251E" w:rsidRPr="002B3F2F" w:rsidRDefault="005C251E" w:rsidP="005C251E">
      <w:pPr>
        <w:rPr>
          <w:rFonts w:ascii="THICCCBOI SemBd" w:hAnsi="THICCCBOI SemBd"/>
          <w:b/>
          <w:bCs/>
          <w:sz w:val="40"/>
          <w:szCs w:val="40"/>
        </w:rPr>
      </w:pPr>
      <w:r w:rsidRPr="002B3F2F">
        <w:rPr>
          <w:rFonts w:ascii="THICCCBOI SemBd" w:hAnsi="THICCCBOI SemBd"/>
          <w:b/>
          <w:bCs/>
          <w:sz w:val="40"/>
          <w:szCs w:val="40"/>
        </w:rPr>
        <w:t>13. Whistleblowing</w:t>
      </w:r>
    </w:p>
    <w:p w14:paraId="0E512337" w14:textId="7A70CB28" w:rsidR="005C251E" w:rsidRPr="00BF54FA" w:rsidRDefault="00AA639F" w:rsidP="005C251E">
      <w:pPr>
        <w:rPr>
          <w:rFonts w:ascii="THICCCBOI SemBd" w:hAnsi="THICCCBOI SemBd"/>
        </w:rPr>
      </w:pPr>
      <w:proofErr w:type="spellStart"/>
      <w:r w:rsidRPr="00BF54FA">
        <w:rPr>
          <w:rFonts w:ascii="THICCCBOI SemBd" w:hAnsi="THICCCBOI SemBd"/>
        </w:rPr>
        <w:t>DifferencesnotDisabilities</w:t>
      </w:r>
      <w:proofErr w:type="spellEnd"/>
      <w:r w:rsidR="005C251E" w:rsidRPr="00BF54FA">
        <w:rPr>
          <w:rFonts w:ascii="THICCCBOI SemBd" w:hAnsi="THICCCBOI SemBd"/>
        </w:rPr>
        <w:t xml:space="preserve"> Ltd. encourages an open culture where staff and volunteers feel able to raise concerns about safeguarding practices. Whistleblowers will be supported and protected in line with the Public Interest Disclosure Act 1998.</w:t>
      </w:r>
    </w:p>
    <w:p w14:paraId="59C0B8A4" w14:textId="77777777" w:rsidR="005C251E" w:rsidRPr="00BF54FA" w:rsidRDefault="005C251E" w:rsidP="005C251E">
      <w:pPr>
        <w:rPr>
          <w:rFonts w:ascii="THICCCBOI SemBd" w:hAnsi="THICCCBOI SemBd"/>
        </w:rPr>
      </w:pPr>
    </w:p>
    <w:p w14:paraId="5178463E" w14:textId="77777777" w:rsidR="005C251E" w:rsidRPr="002B3F2F" w:rsidRDefault="005C251E" w:rsidP="005C251E">
      <w:pPr>
        <w:rPr>
          <w:rFonts w:ascii="THICCCBOI SemBd" w:hAnsi="THICCCBOI SemBd"/>
          <w:b/>
          <w:bCs/>
          <w:sz w:val="40"/>
          <w:szCs w:val="40"/>
        </w:rPr>
      </w:pPr>
      <w:r w:rsidRPr="002B3F2F">
        <w:rPr>
          <w:rFonts w:ascii="THICCCBOI SemBd" w:hAnsi="THICCCBOI SemBd"/>
          <w:b/>
          <w:bCs/>
          <w:sz w:val="40"/>
          <w:szCs w:val="40"/>
        </w:rPr>
        <w:t>14. Review</w:t>
      </w:r>
    </w:p>
    <w:p w14:paraId="0E2B8A20" w14:textId="77777777" w:rsidR="005C251E" w:rsidRPr="00BF54FA" w:rsidRDefault="005C251E" w:rsidP="005C251E">
      <w:pPr>
        <w:rPr>
          <w:rFonts w:ascii="THICCCBOI SemBd" w:hAnsi="THICCCBOI SemBd"/>
        </w:rPr>
      </w:pPr>
      <w:r w:rsidRPr="00BF54FA">
        <w:rPr>
          <w:rFonts w:ascii="THICCCBOI SemBd" w:hAnsi="THICCCBOI SemBd"/>
        </w:rPr>
        <w:t>This policy will be reviewed annually, or sooner if there are changes in legislation or government guidance.</w:t>
      </w:r>
    </w:p>
    <w:p w14:paraId="375E99AF" w14:textId="77777777" w:rsidR="005C251E" w:rsidRPr="00BF54FA" w:rsidRDefault="005C251E" w:rsidP="005C251E">
      <w:pPr>
        <w:rPr>
          <w:rFonts w:ascii="THICCCBOI SemBd" w:hAnsi="THICCCBOI SemBd"/>
        </w:rPr>
      </w:pPr>
    </w:p>
    <w:p w14:paraId="433AA0EC" w14:textId="77777777" w:rsidR="005C251E" w:rsidRPr="002B3F2F" w:rsidRDefault="005C251E" w:rsidP="005C251E">
      <w:pPr>
        <w:rPr>
          <w:rFonts w:ascii="THICCCBOI SemBd" w:hAnsi="THICCCBOI SemBd"/>
          <w:b/>
          <w:bCs/>
          <w:sz w:val="40"/>
          <w:szCs w:val="40"/>
        </w:rPr>
      </w:pPr>
      <w:r w:rsidRPr="002B3F2F">
        <w:rPr>
          <w:rFonts w:ascii="THICCCBOI SemBd" w:hAnsi="THICCCBOI SemBd"/>
          <w:b/>
          <w:bCs/>
          <w:sz w:val="40"/>
          <w:szCs w:val="40"/>
        </w:rPr>
        <w:t>15. Contact Information</w:t>
      </w:r>
    </w:p>
    <w:p w14:paraId="455D336A" w14:textId="39CD3B89" w:rsidR="006F5089" w:rsidRPr="00BF54FA" w:rsidRDefault="005C251E" w:rsidP="005C251E">
      <w:pPr>
        <w:rPr>
          <w:rFonts w:ascii="THICCCBOI SemBd" w:hAnsi="THICCCBOI SemBd"/>
        </w:rPr>
      </w:pPr>
      <w:r w:rsidRPr="00BF54FA">
        <w:rPr>
          <w:rFonts w:ascii="THICCCBOI SemBd" w:hAnsi="THICCCBOI SemBd"/>
        </w:rPr>
        <w:t xml:space="preserve">Designated Safeguarding Lead (DSL): </w:t>
      </w:r>
      <w:r w:rsidR="006F5089" w:rsidRPr="00BF54FA">
        <w:rPr>
          <w:rFonts w:ascii="THICCCBOI SemBd" w:hAnsi="THICCCBOI SemBd"/>
        </w:rPr>
        <w:t>Kurt King,</w:t>
      </w:r>
      <w:r w:rsidRPr="00BF54FA">
        <w:rPr>
          <w:rFonts w:ascii="THICCCBOI SemBd" w:hAnsi="THICCCBOI SemBd"/>
        </w:rPr>
        <w:t xml:space="preserve"> </w:t>
      </w:r>
      <w:r w:rsidR="006F5089" w:rsidRPr="00BF54FA">
        <w:rPr>
          <w:rFonts w:ascii="THICCCBOI SemBd" w:hAnsi="THICCCBOI SemBd"/>
        </w:rPr>
        <w:t>01</w:t>
      </w:r>
      <w:r w:rsidR="00134AED" w:rsidRPr="00BF54FA">
        <w:rPr>
          <w:rFonts w:ascii="THICCCBOI SemBd" w:hAnsi="THICCCBOI SemBd"/>
        </w:rPr>
        <w:t>233 368064</w:t>
      </w:r>
    </w:p>
    <w:p w14:paraId="12CDAD0A" w14:textId="5603A65A" w:rsidR="005C251E" w:rsidRPr="00BF54FA" w:rsidRDefault="005C251E" w:rsidP="005C251E">
      <w:pPr>
        <w:rPr>
          <w:rFonts w:ascii="THICCCBOI SemBd" w:hAnsi="THICCCBOI SemBd"/>
        </w:rPr>
      </w:pPr>
      <w:r w:rsidRPr="00BF54FA">
        <w:rPr>
          <w:rFonts w:ascii="THICCCBOI SemBd" w:hAnsi="THICCCBOI SemBd"/>
        </w:rPr>
        <w:t xml:space="preserve">Deputy DSL: </w:t>
      </w:r>
      <w:r w:rsidR="00134AED" w:rsidRPr="00BF54FA">
        <w:rPr>
          <w:rFonts w:ascii="THICCCBOI SemBd" w:hAnsi="THICCCBOI SemBd"/>
        </w:rPr>
        <w:t>Michelle Elliott, 01233 368064</w:t>
      </w:r>
    </w:p>
    <w:p w14:paraId="0CC32783" w14:textId="3C0B1051" w:rsidR="006F5089" w:rsidRPr="00BF54FA" w:rsidRDefault="005C251E" w:rsidP="006F5089">
      <w:pPr>
        <w:rPr>
          <w:rFonts w:ascii="THICCCBOI SemBd" w:hAnsi="THICCCBOI SemBd"/>
        </w:rPr>
      </w:pPr>
      <w:r w:rsidRPr="00BF54FA">
        <w:rPr>
          <w:rFonts w:ascii="THICCCBOI SemBd" w:hAnsi="THICCCBOI SemBd"/>
        </w:rPr>
        <w:t xml:space="preserve">Local Authority Designated Officer (LADO): </w:t>
      </w:r>
      <w:r w:rsidR="006F5089" w:rsidRPr="00BF54FA">
        <w:rPr>
          <w:rFonts w:ascii="THICCCBOI SemBd" w:hAnsi="THICCCBOI SemBd"/>
        </w:rPr>
        <w:br/>
        <w:t xml:space="preserve"> 03000 41 08 88</w:t>
      </w:r>
      <w:r w:rsidR="00F71AC0" w:rsidRPr="00BF54FA">
        <w:rPr>
          <w:rFonts w:ascii="THICCCBOI SemBd" w:hAnsi="THICCCBOI SemBd"/>
        </w:rPr>
        <w:t xml:space="preserve"> </w:t>
      </w:r>
      <w:hyperlink r:id="rId6" w:history="1">
        <w:r w:rsidR="00F71AC0" w:rsidRPr="00BF54FA">
          <w:rPr>
            <w:rStyle w:val="Hyperlink"/>
            <w:rFonts w:ascii="THICCCBOI SemBd" w:hAnsi="THICCCBOI SemBd"/>
          </w:rPr>
          <w:t>kentchildrenslado@kent.gov.uk</w:t>
        </w:r>
      </w:hyperlink>
      <w:r w:rsidR="00F71AC0" w:rsidRPr="00BF54FA">
        <w:rPr>
          <w:rFonts w:ascii="THICCCBOI SemBd" w:hAnsi="THICCCBOI SemBd"/>
        </w:rPr>
        <w:t xml:space="preserve">. </w:t>
      </w:r>
    </w:p>
    <w:p w14:paraId="77740164" w14:textId="35CF8A55" w:rsidR="005C251E" w:rsidRPr="00BF54FA" w:rsidRDefault="005C251E" w:rsidP="005C251E">
      <w:pPr>
        <w:rPr>
          <w:rFonts w:ascii="THICCCBOI SemBd" w:hAnsi="THICCCBOI SemBd"/>
        </w:rPr>
      </w:pPr>
    </w:p>
    <w:p w14:paraId="38665257" w14:textId="77777777" w:rsidR="005C251E" w:rsidRPr="002B3F2F" w:rsidRDefault="005C251E" w:rsidP="005C251E">
      <w:pPr>
        <w:rPr>
          <w:rFonts w:ascii="THICCCBOI SemBd" w:hAnsi="THICCCBOI SemBd"/>
          <w:b/>
          <w:bCs/>
          <w:sz w:val="40"/>
          <w:szCs w:val="40"/>
        </w:rPr>
      </w:pPr>
      <w:r w:rsidRPr="002B3F2F">
        <w:rPr>
          <w:rFonts w:ascii="THICCCBOI SemBd" w:hAnsi="THICCCBOI SemBd"/>
          <w:b/>
          <w:bCs/>
          <w:sz w:val="40"/>
          <w:szCs w:val="40"/>
        </w:rPr>
        <w:t>16. Approval</w:t>
      </w:r>
    </w:p>
    <w:p w14:paraId="48719491" w14:textId="77777777" w:rsidR="005C251E" w:rsidRPr="00BF54FA" w:rsidRDefault="005C251E" w:rsidP="005C251E">
      <w:pPr>
        <w:rPr>
          <w:rFonts w:ascii="THICCCBOI SemBd" w:hAnsi="THICCCBOI SemBd"/>
        </w:rPr>
      </w:pPr>
      <w:r w:rsidRPr="00BF54FA">
        <w:rPr>
          <w:rFonts w:ascii="THICCCBOI SemBd" w:hAnsi="THICCCBOI SemBd"/>
        </w:rPr>
        <w:t>This policy has been approved and endorsed by [Company Director/CEO/Board].</w:t>
      </w:r>
    </w:p>
    <w:p w14:paraId="485D6B06" w14:textId="77777777" w:rsidR="005C251E" w:rsidRPr="00BF54FA" w:rsidRDefault="005C251E" w:rsidP="005C251E">
      <w:pPr>
        <w:rPr>
          <w:rFonts w:ascii="THICCCBOI SemBd" w:hAnsi="THICCCBOI SemBd"/>
        </w:rPr>
      </w:pPr>
    </w:p>
    <w:p w14:paraId="42DF91AE" w14:textId="77777777" w:rsidR="005C251E" w:rsidRPr="00BF54FA" w:rsidRDefault="005C251E" w:rsidP="005C251E">
      <w:pPr>
        <w:rPr>
          <w:rFonts w:ascii="THICCCBOI SemBd" w:hAnsi="THICCCBOI SemBd"/>
        </w:rPr>
      </w:pPr>
      <w:r w:rsidRPr="00BF54FA">
        <w:rPr>
          <w:rFonts w:ascii="THICCCBOI SemBd" w:hAnsi="THICCCBOI SemBd"/>
        </w:rPr>
        <w:t>Approved by:</w:t>
      </w:r>
    </w:p>
    <w:p w14:paraId="15E4AB83" w14:textId="77777777" w:rsidR="005C251E" w:rsidRPr="00BF54FA" w:rsidRDefault="005C251E" w:rsidP="005C251E">
      <w:pPr>
        <w:rPr>
          <w:rFonts w:ascii="THICCCBOI SemBd" w:hAnsi="THICCCBOI SemBd"/>
        </w:rPr>
      </w:pPr>
    </w:p>
    <w:p w14:paraId="00947844" w14:textId="7525A437" w:rsidR="005C251E" w:rsidRPr="00BF54FA" w:rsidRDefault="00B3232E" w:rsidP="005C251E">
      <w:pPr>
        <w:rPr>
          <w:rFonts w:ascii="THICCCBOI SemBd" w:hAnsi="THICCCBOI SemBd"/>
        </w:rPr>
      </w:pPr>
      <w:r w:rsidRPr="00BF54FA">
        <w:rPr>
          <w:rFonts w:ascii="THICCCBOI SemBd" w:hAnsi="THICCCBOI SemBd"/>
        </w:rPr>
        <w:t>Kurt King</w:t>
      </w:r>
    </w:p>
    <w:p w14:paraId="5AD67A9B" w14:textId="77777777" w:rsidR="005C251E" w:rsidRPr="00BF54FA" w:rsidRDefault="005C251E" w:rsidP="005C251E">
      <w:pPr>
        <w:rPr>
          <w:rFonts w:ascii="THICCCBOI SemBd" w:hAnsi="THICCCBOI SemBd"/>
        </w:rPr>
      </w:pPr>
    </w:p>
    <w:p w14:paraId="712A6519" w14:textId="52ACE7F9" w:rsidR="005C251E" w:rsidRPr="00BF54FA" w:rsidRDefault="00B3232E" w:rsidP="005C251E">
      <w:pPr>
        <w:rPr>
          <w:rFonts w:ascii="THICCCBOI SemBd" w:hAnsi="THICCCBOI SemBd"/>
        </w:rPr>
      </w:pPr>
      <w:r w:rsidRPr="00BF54FA">
        <w:rPr>
          <w:rFonts w:ascii="THICCCBOI SemBd" w:hAnsi="THICCCBOI SemBd"/>
        </w:rPr>
        <w:t>Company Director</w:t>
      </w:r>
    </w:p>
    <w:p w14:paraId="02755EC1" w14:textId="77777777" w:rsidR="005C251E" w:rsidRPr="00BF54FA" w:rsidRDefault="005C251E" w:rsidP="005C251E">
      <w:pPr>
        <w:rPr>
          <w:rFonts w:ascii="THICCCBOI SemBd" w:hAnsi="THICCCBOI SemBd"/>
        </w:rPr>
      </w:pPr>
    </w:p>
    <w:p w14:paraId="6BC0D087" w14:textId="5D40062A" w:rsidR="005C251E" w:rsidRPr="00BF54FA" w:rsidRDefault="005C251E" w:rsidP="005C251E">
      <w:pPr>
        <w:rPr>
          <w:rFonts w:ascii="THICCCBOI SemBd" w:hAnsi="THICCCBOI SemBd"/>
        </w:rPr>
      </w:pPr>
      <w:r w:rsidRPr="00BF54FA">
        <w:rPr>
          <w:rFonts w:ascii="THICCCBOI SemBd" w:hAnsi="THICCCBOI SemBd"/>
        </w:rPr>
        <w:t>[Date]</w:t>
      </w:r>
      <w:r w:rsidR="00B3232E" w:rsidRPr="00BF54FA">
        <w:rPr>
          <w:rFonts w:ascii="THICCCBOI SemBd" w:hAnsi="THICCCBOI SemBd"/>
        </w:rPr>
        <w:t xml:space="preserve"> 24.7.24</w:t>
      </w:r>
    </w:p>
    <w:p w14:paraId="5F0CB0A6" w14:textId="77777777" w:rsidR="005C251E" w:rsidRPr="00BF54FA" w:rsidRDefault="005C251E" w:rsidP="005C251E">
      <w:pPr>
        <w:rPr>
          <w:rFonts w:ascii="THICCCBOI SemBd" w:hAnsi="THICCCBOI SemBd"/>
        </w:rPr>
      </w:pPr>
    </w:p>
    <w:p w14:paraId="7B52F178" w14:textId="40578B9B" w:rsidR="005C251E" w:rsidRPr="00BF54FA" w:rsidRDefault="005C251E" w:rsidP="005C251E">
      <w:pPr>
        <w:rPr>
          <w:rFonts w:ascii="THICCCBOI SemBd" w:hAnsi="THICCCBOI SemBd"/>
        </w:rPr>
      </w:pPr>
      <w:r w:rsidRPr="00BF54FA">
        <w:rPr>
          <w:rFonts w:ascii="THICCCBOI SemBd" w:hAnsi="THICCCBOI SemBd"/>
        </w:rPr>
        <w:t>This policy ensures that</w:t>
      </w:r>
      <w:r w:rsidR="00B3232E" w:rsidRPr="00BF54FA">
        <w:rPr>
          <w:rFonts w:ascii="THICCCBOI SemBd" w:hAnsi="THICCCBOI SemBd"/>
        </w:rPr>
        <w:t xml:space="preserve"> </w:t>
      </w:r>
      <w:proofErr w:type="spellStart"/>
      <w:r w:rsidR="00B3232E" w:rsidRPr="00BF54FA">
        <w:rPr>
          <w:rFonts w:ascii="THICCCBOI SemBd" w:hAnsi="THICCCBOI SemBd"/>
        </w:rPr>
        <w:t>DifferencesnotDisabilities</w:t>
      </w:r>
      <w:proofErr w:type="spellEnd"/>
      <w:r w:rsidR="00B3232E" w:rsidRPr="00BF54FA">
        <w:rPr>
          <w:rFonts w:ascii="THICCCBOI SemBd" w:hAnsi="THICCCBOI SemBd"/>
        </w:rPr>
        <w:t xml:space="preserve"> </w:t>
      </w:r>
      <w:r w:rsidRPr="00BF54FA">
        <w:rPr>
          <w:rFonts w:ascii="THICCCBOI SemBd" w:hAnsi="THICCCBOI SemBd"/>
        </w:rPr>
        <w:t>Ltd. meets its legal obligations and maintains a safe environment for all children and young people who interact with our services.</w:t>
      </w:r>
    </w:p>
    <w:p w14:paraId="6F8F56D9" w14:textId="77777777" w:rsidR="005C251E" w:rsidRPr="00BF54FA" w:rsidRDefault="005C251E">
      <w:pPr>
        <w:rPr>
          <w:rFonts w:ascii="THICCCBOI SemBd" w:hAnsi="THICCCBOI SemBd"/>
        </w:rPr>
      </w:pPr>
    </w:p>
    <w:p w14:paraId="4F752C91" w14:textId="77777777" w:rsidR="005C251E" w:rsidRPr="00BF54FA" w:rsidRDefault="005C251E">
      <w:pPr>
        <w:rPr>
          <w:rFonts w:ascii="THICCCBOI SemBd" w:hAnsi="THICCCBOI SemBd"/>
        </w:rPr>
      </w:pPr>
    </w:p>
    <w:sectPr w:rsidR="005C251E" w:rsidRPr="00BF54F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B4405" w14:textId="77777777" w:rsidR="000C3994" w:rsidRDefault="000C3994" w:rsidP="000C3994">
      <w:pPr>
        <w:spacing w:after="0" w:line="240" w:lineRule="auto"/>
      </w:pPr>
      <w:r>
        <w:separator/>
      </w:r>
    </w:p>
  </w:endnote>
  <w:endnote w:type="continuationSeparator" w:id="0">
    <w:p w14:paraId="0136A567" w14:textId="77777777" w:rsidR="000C3994" w:rsidRDefault="000C3994" w:rsidP="000C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HICCCBOI SemBd">
    <w:panose1 w:val="00000000000000000000"/>
    <w:charset w:val="00"/>
    <w:family w:val="auto"/>
    <w:pitch w:val="variable"/>
    <w:sig w:usb0="A00000EF" w:usb1="5000E0E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0D299" w14:textId="77777777" w:rsidR="000C3994" w:rsidRDefault="000C3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08E2E" w14:textId="77777777" w:rsidR="000C3994" w:rsidRDefault="000C3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8CD90" w14:textId="77777777" w:rsidR="000C3994" w:rsidRDefault="000C3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64F87" w14:textId="77777777" w:rsidR="000C3994" w:rsidRDefault="000C3994" w:rsidP="000C3994">
      <w:pPr>
        <w:spacing w:after="0" w:line="240" w:lineRule="auto"/>
      </w:pPr>
      <w:r>
        <w:separator/>
      </w:r>
    </w:p>
  </w:footnote>
  <w:footnote w:type="continuationSeparator" w:id="0">
    <w:p w14:paraId="64EB832E" w14:textId="77777777" w:rsidR="000C3994" w:rsidRDefault="000C3994" w:rsidP="000C3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FF8D" w14:textId="0B5B10FE" w:rsidR="000C3994" w:rsidRDefault="000C3994">
    <w:pPr>
      <w:pStyle w:val="Header"/>
    </w:pPr>
    <w:r>
      <w:rPr>
        <w:noProof/>
      </w:rPr>
      <w:pict w14:anchorId="3FA78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3047" o:spid="_x0000_s2050" type="#_x0000_t75" style="position:absolute;margin-left:0;margin-top:0;width:451.1pt;height:451.1pt;z-index:-251657216;mso-position-horizontal:center;mso-position-horizontal-relative:margin;mso-position-vertical:center;mso-position-vertical-relative:margin" o:allowincell="f">
          <v:imagedata r:id="rId1" o:title="Officia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E847C" w14:textId="19FBC883" w:rsidR="000C3994" w:rsidRDefault="000C3994">
    <w:pPr>
      <w:pStyle w:val="Header"/>
    </w:pPr>
    <w:r>
      <w:rPr>
        <w:noProof/>
      </w:rPr>
      <w:pict w14:anchorId="6B480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3048" o:spid="_x0000_s2051" type="#_x0000_t75" style="position:absolute;margin-left:0;margin-top:0;width:451.1pt;height:451.1pt;z-index:-251656192;mso-position-horizontal:center;mso-position-horizontal-relative:margin;mso-position-vertical:center;mso-position-vertical-relative:margin" o:allowincell="f">
          <v:imagedata r:id="rId1" o:title="Officia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7A1F" w14:textId="1A42BA46" w:rsidR="000C3994" w:rsidRDefault="000C3994">
    <w:pPr>
      <w:pStyle w:val="Header"/>
    </w:pPr>
    <w:r>
      <w:rPr>
        <w:noProof/>
      </w:rPr>
      <w:pict w14:anchorId="0CF0C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3046" o:spid="_x0000_s2049" type="#_x0000_t75" style="position:absolute;margin-left:0;margin-top:0;width:451.1pt;height:451.1pt;z-index:-251658240;mso-position-horizontal:center;mso-position-horizontal-relative:margin;mso-position-vertical:center;mso-position-vertical-relative:margin" o:allowincell="f">
          <v:imagedata r:id="rId1" o:title="Official"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1E"/>
    <w:rsid w:val="000535CF"/>
    <w:rsid w:val="00064C5E"/>
    <w:rsid w:val="00073A7A"/>
    <w:rsid w:val="000B14FE"/>
    <w:rsid w:val="000C3994"/>
    <w:rsid w:val="000D5846"/>
    <w:rsid w:val="000D73EC"/>
    <w:rsid w:val="000E4458"/>
    <w:rsid w:val="0011373A"/>
    <w:rsid w:val="00134AED"/>
    <w:rsid w:val="001846A8"/>
    <w:rsid w:val="001C3E2C"/>
    <w:rsid w:val="00257324"/>
    <w:rsid w:val="002942B9"/>
    <w:rsid w:val="002B3F2F"/>
    <w:rsid w:val="002E4355"/>
    <w:rsid w:val="00357E94"/>
    <w:rsid w:val="003713DE"/>
    <w:rsid w:val="00377910"/>
    <w:rsid w:val="004A0489"/>
    <w:rsid w:val="004E6B8C"/>
    <w:rsid w:val="005C251E"/>
    <w:rsid w:val="005D2ABE"/>
    <w:rsid w:val="006253C0"/>
    <w:rsid w:val="006556AA"/>
    <w:rsid w:val="00672E4B"/>
    <w:rsid w:val="00680DB1"/>
    <w:rsid w:val="006F5089"/>
    <w:rsid w:val="0075689D"/>
    <w:rsid w:val="00762024"/>
    <w:rsid w:val="0079126F"/>
    <w:rsid w:val="007955BE"/>
    <w:rsid w:val="00834216"/>
    <w:rsid w:val="008B0B1A"/>
    <w:rsid w:val="00956EFE"/>
    <w:rsid w:val="009D18BD"/>
    <w:rsid w:val="00A5448D"/>
    <w:rsid w:val="00A73D99"/>
    <w:rsid w:val="00A91824"/>
    <w:rsid w:val="00AA639F"/>
    <w:rsid w:val="00B3232E"/>
    <w:rsid w:val="00B65B1D"/>
    <w:rsid w:val="00B934FE"/>
    <w:rsid w:val="00BA19AA"/>
    <w:rsid w:val="00BF54FA"/>
    <w:rsid w:val="00CB74B3"/>
    <w:rsid w:val="00DC6846"/>
    <w:rsid w:val="00DE4204"/>
    <w:rsid w:val="00E269FC"/>
    <w:rsid w:val="00E96DA8"/>
    <w:rsid w:val="00EB1380"/>
    <w:rsid w:val="00EC034B"/>
    <w:rsid w:val="00EC78E6"/>
    <w:rsid w:val="00EE1DAA"/>
    <w:rsid w:val="00F05F0B"/>
    <w:rsid w:val="00F71AC0"/>
    <w:rsid w:val="00F92546"/>
    <w:rsid w:val="00FA2B4D"/>
    <w:rsid w:val="00FB08FF"/>
    <w:rsid w:val="00FC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4F0FB5"/>
  <w15:chartTrackingRefBased/>
  <w15:docId w15:val="{20744B0D-5E8E-45A0-BD15-8D801C97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5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5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5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5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5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5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5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5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5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5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5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5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5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51E"/>
    <w:rPr>
      <w:rFonts w:eastAsiaTheme="majorEastAsia" w:cstheme="majorBidi"/>
      <w:color w:val="272727" w:themeColor="text1" w:themeTint="D8"/>
    </w:rPr>
  </w:style>
  <w:style w:type="paragraph" w:styleId="Title">
    <w:name w:val="Title"/>
    <w:basedOn w:val="Normal"/>
    <w:next w:val="Normal"/>
    <w:link w:val="TitleChar"/>
    <w:uiPriority w:val="10"/>
    <w:qFormat/>
    <w:rsid w:val="005C2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5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5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51E"/>
    <w:pPr>
      <w:spacing w:before="160"/>
      <w:jc w:val="center"/>
    </w:pPr>
    <w:rPr>
      <w:i/>
      <w:iCs/>
      <w:color w:val="404040" w:themeColor="text1" w:themeTint="BF"/>
    </w:rPr>
  </w:style>
  <w:style w:type="character" w:customStyle="1" w:styleId="QuoteChar">
    <w:name w:val="Quote Char"/>
    <w:basedOn w:val="DefaultParagraphFont"/>
    <w:link w:val="Quote"/>
    <w:uiPriority w:val="29"/>
    <w:rsid w:val="005C251E"/>
    <w:rPr>
      <w:i/>
      <w:iCs/>
      <w:color w:val="404040" w:themeColor="text1" w:themeTint="BF"/>
    </w:rPr>
  </w:style>
  <w:style w:type="paragraph" w:styleId="ListParagraph">
    <w:name w:val="List Paragraph"/>
    <w:basedOn w:val="Normal"/>
    <w:uiPriority w:val="34"/>
    <w:qFormat/>
    <w:rsid w:val="005C251E"/>
    <w:pPr>
      <w:ind w:left="720"/>
      <w:contextualSpacing/>
    </w:pPr>
  </w:style>
  <w:style w:type="character" w:styleId="IntenseEmphasis">
    <w:name w:val="Intense Emphasis"/>
    <w:basedOn w:val="DefaultParagraphFont"/>
    <w:uiPriority w:val="21"/>
    <w:qFormat/>
    <w:rsid w:val="005C251E"/>
    <w:rPr>
      <w:i/>
      <w:iCs/>
      <w:color w:val="0F4761" w:themeColor="accent1" w:themeShade="BF"/>
    </w:rPr>
  </w:style>
  <w:style w:type="paragraph" w:styleId="IntenseQuote">
    <w:name w:val="Intense Quote"/>
    <w:basedOn w:val="Normal"/>
    <w:next w:val="Normal"/>
    <w:link w:val="IntenseQuoteChar"/>
    <w:uiPriority w:val="30"/>
    <w:qFormat/>
    <w:rsid w:val="005C2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51E"/>
    <w:rPr>
      <w:i/>
      <w:iCs/>
      <w:color w:val="0F4761" w:themeColor="accent1" w:themeShade="BF"/>
    </w:rPr>
  </w:style>
  <w:style w:type="character" w:styleId="IntenseReference">
    <w:name w:val="Intense Reference"/>
    <w:basedOn w:val="DefaultParagraphFont"/>
    <w:uiPriority w:val="32"/>
    <w:qFormat/>
    <w:rsid w:val="005C251E"/>
    <w:rPr>
      <w:b/>
      <w:bCs/>
      <w:smallCaps/>
      <w:color w:val="0F4761" w:themeColor="accent1" w:themeShade="BF"/>
      <w:spacing w:val="5"/>
    </w:rPr>
  </w:style>
  <w:style w:type="character" w:styleId="Hyperlink">
    <w:name w:val="Hyperlink"/>
    <w:basedOn w:val="DefaultParagraphFont"/>
    <w:uiPriority w:val="99"/>
    <w:unhideWhenUsed/>
    <w:rsid w:val="00F71AC0"/>
    <w:rPr>
      <w:color w:val="467886" w:themeColor="hyperlink"/>
      <w:u w:val="single"/>
    </w:rPr>
  </w:style>
  <w:style w:type="character" w:styleId="UnresolvedMention">
    <w:name w:val="Unresolved Mention"/>
    <w:basedOn w:val="DefaultParagraphFont"/>
    <w:uiPriority w:val="99"/>
    <w:semiHidden/>
    <w:unhideWhenUsed/>
    <w:rsid w:val="00F71AC0"/>
    <w:rPr>
      <w:color w:val="605E5C"/>
      <w:shd w:val="clear" w:color="auto" w:fill="E1DFDD"/>
    </w:rPr>
  </w:style>
  <w:style w:type="paragraph" w:styleId="Header">
    <w:name w:val="header"/>
    <w:basedOn w:val="Normal"/>
    <w:link w:val="HeaderChar"/>
    <w:uiPriority w:val="99"/>
    <w:unhideWhenUsed/>
    <w:rsid w:val="000C3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994"/>
  </w:style>
  <w:style w:type="paragraph" w:styleId="Footer">
    <w:name w:val="footer"/>
    <w:basedOn w:val="Normal"/>
    <w:link w:val="FooterChar"/>
    <w:uiPriority w:val="99"/>
    <w:unhideWhenUsed/>
    <w:rsid w:val="000C3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tchildrenslado@kent.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King</dc:creator>
  <cp:keywords/>
  <dc:description/>
  <cp:lastModifiedBy>Kurt King</cp:lastModifiedBy>
  <cp:revision>2</cp:revision>
  <dcterms:created xsi:type="dcterms:W3CDTF">2024-07-24T15:36:00Z</dcterms:created>
  <dcterms:modified xsi:type="dcterms:W3CDTF">2024-07-24T15:36:00Z</dcterms:modified>
</cp:coreProperties>
</file>